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337</w:t>
      </w:r>
    </w:p>
    <w:p>
      <w:r>
        <w:t>Bundesgericht (BGE), 1971-07-07, DE</w:t>
      </w:r>
    </w:p>
    <w:p>
      <w:r>
        <w:rPr>
          <w:b/>
        </w:rPr>
        <w:t xml:space="preserve">Quelle: </w:t>
      </w:r>
      <w:r>
        <w:t>https://mcp.opencaselaw.ch/entscheid/bge_97 I 337</w:t>
      </w:r>
    </w:p>
    <w:p>
      <w:r>
        <w:t>FR: ATF 97 I 337</w:t>
      </w:r>
    </w:p>
    <w:p>
      <w:r>
        <w:t>IT: DTF 97 I 337</w:t>
      </w:r>
    </w:p>
    <w:p>
      <w:pPr>
        <w:pStyle w:val="Heading2"/>
      </w:pPr>
      <w:r>
        <w:t>Regeste</w:t>
      </w:r>
    </w:p>
    <w:p>
      <w:r>
        <w:t>Regeste Gebühr für Anschluss an eine neue Kanalisation. Liegt in der Anwendung des im Hinblick auf die neue Kanalisation aufgestellten Tarifs auf bereits vor seinem Erlass angeschlossene Liegenschaften eine (unzulässige) Rückwirkung? (Erw. 2). Kantonales Verwaltungsverfahren. Rechtsverweigerung. Ist eine Rekursinstanz, die in Gutheissung eines Rekurses einen neuen Sachentscheid fällt, verpflichtet, sich mit den vor der Vorinstanz erhobenen, von dieser nicht beurteilten Einwendungen des Rekursgegners auseinanderzusetzen? (Erw. 3).</w:t>
      </w:r>
    </w:p>
    <w:p>
      <w:pPr>
        <w:pStyle w:val="Heading2"/>
      </w:pPr>
      <w:r>
        <w:t>Erwägungen</w:t>
      </w:r>
    </w:p>
    <w:p>
      <w:r>
        <w:rPr>
          <w:b/>
        </w:rPr>
        <w:t>E. 1</w:t>
      </w:r>
    </w:p>
    <w:p>
      <w:r>
        <w:t>§ 28 des Kanalisationsreglements (KR) der Gemeinde Subingen vom 15. Dezember 1966 setzt in Abs. 1 den Zeitpunkt des Inkrafttretens des KR fest und bestimmt in Abs. 2: "Alle zur Zeit des Inkrafttretens dieses Reglementes noch nicht erledigten Gesuche, sowie Liegenschaftsbesitzer, welche seit dem 1. Januar 1963 an die von der Gemeinde neu erstellte Tiefenkanalisation angeschlossen haben, sind nach den neuen Vorschriften zu behandeln." Die Beschwerdeführerin behauptet nicht, das Verwaltungsgericht habe diese Bestimmung unrichtig ausgelegt oder angewendet. Vielmehr rügt sie, dass die Bestimmung selber verfassungswidrig sei, indem sie eine mit Art. 4 BV unvereinbare Rückwirkung eines Abgabeerlasses vorsehe. Diese Rüge ist zulässig. Jene Bestimmung könnte zwar, da die Frist zur Anfechtung des KR abgelaufen ist ( Art. 89 OG ), vom Bundesgericht nicht mehr aufgehoben werden. Dagegen kann die Beschwerdeführerin ihre Verfassungswidrigkeit noch im Anschluss an die gestützt darauf ergangene Anwendungsverfügung geltend machen ( BGE 94 I 4 E. 2 und 371 E. 3, BGE 97 I 29 E. 2). Doch ist sie hiezu nur legitimiert, soweit die Bestimmung auf sie angewendet worden ist (vgl. BGE 90 I 79 E. 1 und 91 E. 1). Das Bundesgericht hat daher nicht zu prüfen, ob sich aus der Anwendung des § 28 KR in anderen Fällen eine verfassungswidrige Rückwirkung ergeben könnte, sondern einzig, ob die Bestimmung, auf einen Fall wie den vorliegenden angewendet, gegen Art. 4 BV verstösst.</w:t>
      </w:r>
    </w:p>
    <w:p>
      <w:r>
        <w:rPr>
          <w:b/>
        </w:rPr>
        <w:t>E. 2</w:t>
      </w:r>
    </w:p>
    <w:p>
      <w:r>
        <w:t>Das Verwaltungsgericht hat im angefochtenen Entscheid untersucht, ob die in § 28 Abs. 2 KR vorgesehene Rückwirkung allgemein oder doch im vorliegenden Falle den Voraussetzungen entspreche, unter denen die Rückwirkung von Verwaltungsgesetzen, die den Bürger belasten, nach der bundesgerichtlichen Rechtsprechung ( BGE 94 I 5 und BGE 95 I 9 je E. 3) vor Art. 4 BV standhält. Ob die Anwendung des KR in einem Falle wie dem vorliegenden als rückwirkende Erhebung einer Abgabe zu betrachten ist, erscheint indessen als zweifelhaft und ist, obwohl das Verwaltungsgericht und die Parteien es ohne weiteres angenommen haben, zu prüfen. a) Von einer rückwirkenden Abgabeerhebung ist dann zu sprechen, wenn sie an ein in der Vergangenheit liegendes, vor BGE 97 I 337 S. 341 der Veranlagung abgeschlossenes Ereignis anknüpft. Das würde zutreffen, wenn die Beschwerdeführerin verpflichtet würde, für einen vor Erlass des KR erstellten und wieder dahingefallenen Anschluss eine einmalige Gebühr zu entrichten oder wenn von ihr eine jährliche Benutzungsgebühr für einen Zeitraum vor Erlass des KR verlangt würde. Etwas derartiges liegt indessen nicht vor. Die einmalige Anschlussgebühr wird von der Beschwerdeführerin nicht deshalb gefordert, weil ihr Grundstück im Jahre 1965 an die Kanalisation angeschlossen wurde, sondern weil der Anschluss im Zeitpunkt des Inkrafttretens des KR bestand, noch heute besteht und weiterhin bestehen bleibt. Die Beschwerdeführerin wird auch nicht stärker belastet, weil ihr Grundstück schon im Jahre 1965 an die Tiefenkanalisation angeschlossen wurde und sie diese seit damals benutzte, sondern gleich wie wenn ihr Grundstück erst jetzt angeschlossen würde. Die Vorteile, die sie vorher aus der Tiefenkanalisation gezogen hat, werden in keiner Weise berücksichtigt. Die Wirkung des § 28 Abs. 2 KR erschöpft sich zum mindesten im vorliegenden Falle in der Anordnung der Gleichbehandlung aller bestehenden und zukünftigen Anschlüsse an die neue Tiefenkanalisation. Die Abgabepflicht der Beschwerdeführerin knüpft somit an einen in der Gegenwart liegenden Tatbestand, nämlich an das Bestehen des Anschlusses an (vgl. hiezu BGE 92 I 458 E. 4 a). Eine Rückwirkung des KR liegt also gar nicht vor. b) Die Beschwerdeführerin macht zu Unrecht geltend, die Gebühr für ihren Anschluss hätte richtigerweise im Jahre 1965 und nach dem damals geltenden KR vom 3. Juni 1954 festgelegt werden sollen. Sie übersieht, dass sich dieses KR nicht auf die neue Tiefenkanalisation bezog, die erst später völlig getrennt vom alten Netz erstellt wurde und deren Kosten offenbar erheblich höher waren als diejenigen des alten Netzes. Sie hat nach dem Anschluss im Herbst 1965 auch keineswegs verlangt, dass die Anschlussgebühr sofort und nach dem KR von 1954 festgesetzt werde, obwohl ihr damals aus der Baubewilligung vom 19. Januar 1965 bekannt war, dass die Gemeinde beabsichtigte, die Anschlussgebühr nach einem neuen, erst zu schaffenden KR zu berechnen. c) Ein Gemeinwesen, das die Abwasserbeseitigung verbessert durch Ausbau der Kanalisationsanlagen, Erstellung einer Kläranlage usw., muss die Möglichkeit haben, die Anschlussgebühren neu festzulegen und auch die Eigentümer von BGE 97 I 337 S. 342 sog. Altbauten, d.h. schon bisher an die Kanalisation angeschlossener Bauten, unter Berücksichtigung der bereits geleisteten Anschlussgebühren zu Beiträgen an die Kosten der Verbesserung heranzuziehen (vgl. BGE 92 I 450 ff., BGE 93 I 106 ff.). Wenn die Gemeinde Subingen von der Beschwerdeführerin zunächst eine Anschlussgebühr nach dem alten Tarif erhoben hätte, so hätte dies einen weiteren Beitrag nach Erlass des neuen Tarifs nicht unbedingt ausgeschlossen. Die Gemeinde hat indessen darauf verzichtet, die Anschlüsse an die neue Tiefenkanalisation zunächst nach dem veralteten, für ein anderes Netz geschaffenen Tarif von 1954 zu unterwerfen, sondern hat eine Gleichbehandlung aller Benützer der neuen Anlage angestrebt. Zu diesem Zwecke hat sie im KR von 1966 alle Benützer unabhängig vom Zeitpunkt des Anschlusses, d.h. ohne Rücksicht darauf, ob sie die neue Anlage im Zeitpunkt des Inkrafttretens des KR bereits benutzen oder erst später angeschlossen werden, der gleichen Abgabe unterworfen. Diese in § 28 Abs. 2 und 3 KR enthaltene Ordnung ist weit davon entfernt, das Gebot der Rechtsgleichheit zu verletzen oder sonst gegen Art. 4 BV zu verstossen. Eher liesse sich fragen, ob nicht eine Privilegierung der Eigentümer bereits angeschlossener Liegenschaften aus dem Gesichtspunkt des Art. 4 BV zu beanstanden gewesen wäre (vgl. BGE 92 I 458 E. 4 b). d) Soweit sich die Beschwerde gegen die Anwendung des KR von 1966 auf die Beschwerdeführerin richtet, ist sie daher schon deshalb abzuweisen, weil in dieser Anwendung überhaupt keine Rückwirkung liegt. Sie wäre übrigens auch dann unbegründet, wenn man mit dem Verwaltungsgericht und den Parteien eine rückwirkende Anwendung annehmen wollte, denn die Ausführungen, mit denen das Verwaltungsgericht im angefochtenen Entscheid die Zulässigkeit der Rückwirkung begründet, erscheinen als zutreffend und halten jedenfalls dem Vorwurfe der Willkür stand.</w:t>
      </w:r>
    </w:p>
    <w:p>
      <w:r>
        <w:rPr>
          <w:b/>
        </w:rPr>
        <w:t>E. 3</w:t>
      </w:r>
    </w:p>
    <w:p>
      <w:r>
        <w:t>Die Beschwerdeführerin beanstandet weiter, dass das Verwaltungsgericht nicht von Amtes wegen geprüft habe, ob die Anschlussgebühr gemäss § 22 KR aufgrund der Gesamtversicherung im Jahre 1965 statt, wie die Gemeinde es getan hatte, aufgrund derjenigen von 1969 zu berechnen sei. Das Verwaltungsgericht hat nicht übersehen, dass die Beschwerdeführerin vor der Schätzungskommission geltend BGE 97 I 337 S. 343 gemacht hatte, die Gemeinde habe § 22 KR falsch angewendet. Es betrachtete diese Rüge aber als unbeachtlich, weil sie vor der Schätzungskommission "nicht näher substanziert" und vor dem Verwaltungsgericht überhaupt nicht mehr erhoben worden sei. Damit hat sie jedoch der Beschwerdeführerin das Recht verweigert. Dem in der Beschwerde angerufenen § 53 des solothurnischen Gerichtsorganisationsgesetzes (GOG vom 5. März 1961) ist zwar nicht zu entnehmen, dass das Verwaltungsgericht das Recht von Amtes wegen anzuwenden hat. Dagegen bestimmt § 54 Satz 2 GOG, dass die zur Abklärung des Sachverhalts erforderlichen Tatsachen von Amtes wegen zu erheben sind, was wohl auch für die erste Instanz, die Schätzungskommission, gelten muss. Das Verwaltungsgericht hat sich nicht damit begnügt, das Urteil der Schätzungskommission aufzuheben und die Sache zu neuer Entscheidung an die Vorinstanz zurückzuweisen, sondern es hat das neue Urteil selbst gefällt. Dann war es aber verpflichtet, die vor der Schätzungskommission erhobenen Rügen und Einwendungen auch dann zu prüfen, wenn sie vor ihm selber nicht mehr wiederholt wurden. Nachdem die J. Stampfli AG vor der Schätzungskommission obgesiegt hatte, hatte sie keinen Anlass und war nicht gehalten, alle vor dieser erhobenen Rügen zu wiederholen; sie durfte sich darauf beschränken, zu ihrer Verteidigung das vorzubringen, was für die Aufrechterhaltung des angefochtenen Urteils sprach. Dagegen musste das Verwaltungsgericht, wenn es anstelle der Vorinstanz ein neues Urteil fällen wollte, sich mit den vor dieser erhobenen und noch nicht beurteilten Einwendungen der Beschwerdeführerin auseinandersetzen. Der Einwand des Verwaltungsgerichts, die hier in Frage stehende Rüge sei ungenügend substanziert gewesen, ist unhaltbar. Die Beschwerdeführerin hat in der Eingabe an die Schätzungskommission ausdrücklich geltend gemacht, die Gemeinde habe bei der Berechnung der Gebühr entgegen dem Wortlaut von § 22 KR nicht auf die Gesamtversicherung "im Moment des Anschlusses", sondern auf diejenige des Jahres 1969 (Fr. 816'900.--) abgestellt. Im Hinblick hierauf war, auch wenn die Beschwerdeführerin den Betrag der früheren Gesamtversicherung (Fr. 765'900.--) nicht angegeben hatte, die Rüge der Verletzung des § 22 KR zu prüfen und nach § 54 Satz 2 GOG BGE 97 I 337 S. 344 diese Versicherung von Amtes wegen festzustellen, was durch Rückfrage bei der Beschwerdeführerin oder Einholung eines Berichts der kantonalen Gebäudeversicherungsanstalt geschehen konnte. Indem das Verwaltungsgericht die von der Beschwerdeführerin erhobene Rüge, die Gebührenrechnung verstosse gegen § 22 KR, nicht beurteilte, machte es sich einer Rechtsverweigerung schuldig, wegen welcher der angefochtene Entscheid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